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5" w:rsidRDefault="00637745" w:rsidP="00637745">
      <w:pPr>
        <w:spacing w:after="0" w:line="240" w:lineRule="auto"/>
        <w:rPr>
          <w:b/>
        </w:rPr>
      </w:pPr>
      <w:r>
        <w:rPr>
          <w:b/>
        </w:rPr>
        <w:t xml:space="preserve">DOC S1 </w:t>
      </w:r>
      <w:r w:rsidRPr="00637745">
        <w:rPr>
          <w:b/>
          <w:u w:val="single"/>
        </w:rPr>
        <w:t>Descriptions about the microarray samples</w:t>
      </w:r>
    </w:p>
    <w:p w:rsidR="00637745" w:rsidRDefault="00637745" w:rsidP="00637745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Times New Roman"/>
          <w:color w:val="000000"/>
          <w:lang w:val="en-US"/>
        </w:rPr>
      </w:pPr>
      <w:r>
        <w:rPr>
          <w:rFonts w:cs="Times New Roman"/>
          <w:lang w:val="en-US"/>
        </w:rPr>
        <w:t>We obtained soybean</w:t>
      </w:r>
      <w:r w:rsidRPr="001F457E">
        <w:rPr>
          <w:rFonts w:cs="Times New Roman"/>
          <w:lang w:val="en-US"/>
        </w:rPr>
        <w:t xml:space="preserve"> microarray data from Gene Expression Omnibus with platform GPL 4592 (</w:t>
      </w:r>
      <w:hyperlink r:id="rId5" w:history="1">
        <w:r w:rsidRPr="001F457E">
          <w:rPr>
            <w:rStyle w:val="Hyperlink"/>
            <w:rFonts w:cs="Times New Roman"/>
            <w:lang w:val="en-US"/>
          </w:rPr>
          <w:t>http://www.ncbi.nlm.nih.gov/geo/query/acc.cgi?acc=GPL4592</w:t>
        </w:r>
      </w:hyperlink>
      <w:r w:rsidRPr="001F457E">
        <w:rPr>
          <w:rFonts w:cs="Times New Roman"/>
          <w:lang w:val="en-US"/>
        </w:rPr>
        <w:t xml:space="preserve">) which contains </w:t>
      </w:r>
      <w:r w:rsidRPr="001F457E">
        <w:rPr>
          <w:rFonts w:cs="Times New Roman"/>
          <w:color w:val="000000"/>
          <w:shd w:val="clear" w:color="auto" w:fill="FFFFFF"/>
        </w:rPr>
        <w:t xml:space="preserve">3855 </w:t>
      </w:r>
      <w:r w:rsidRPr="001F457E">
        <w:rPr>
          <w:rFonts w:cs="Times New Roman"/>
          <w:lang w:val="en-US"/>
        </w:rPr>
        <w:t xml:space="preserve">samples and 56 series. Among these datasets, there are few samples pertained to mainly three experiments available to study the Aluminium (Al) stress in soybean. We selected the datasets </w:t>
      </w:r>
      <w:r w:rsidRPr="001F457E">
        <w:rPr>
          <w:rFonts w:eastAsia="Times New Roman" w:cs="Times New Roman"/>
          <w:bCs/>
          <w:lang w:eastAsia="en-IN"/>
        </w:rPr>
        <w:t xml:space="preserve">GSE18423, GSE18517 and GSE18518 generated by </w:t>
      </w:r>
      <w:proofErr w:type="spellStart"/>
      <w:r w:rsidRPr="001F457E">
        <w:rPr>
          <w:rFonts w:eastAsia="Times New Roman" w:cs="Times New Roman"/>
          <w:color w:val="000000"/>
          <w:lang w:val="en-US"/>
        </w:rPr>
        <w:t>Duressa</w:t>
      </w:r>
      <w:proofErr w:type="spellEnd"/>
      <w:r w:rsidRPr="001F457E">
        <w:rPr>
          <w:rFonts w:eastAsia="Times New Roman" w:cs="Times New Roman"/>
          <w:color w:val="000000"/>
          <w:lang w:val="en-US"/>
        </w:rPr>
        <w:t xml:space="preserve"> et al. (2010</w:t>
      </w:r>
      <w:r w:rsidRPr="001F457E">
        <w:rPr>
          <w:rFonts w:eastAsia="Times New Roman" w:cs="Times New Roman"/>
          <w:color w:val="000000"/>
          <w:vertAlign w:val="superscript"/>
          <w:lang w:val="en-US"/>
        </w:rPr>
        <w:t>a</w:t>
      </w:r>
      <w:r w:rsidRPr="001F457E">
        <w:rPr>
          <w:rFonts w:eastAsia="Times New Roman" w:cs="Times New Roman"/>
          <w:color w:val="000000"/>
          <w:lang w:val="en-US"/>
        </w:rPr>
        <w:t>, 2010</w:t>
      </w:r>
      <w:r w:rsidRPr="001F457E">
        <w:rPr>
          <w:rFonts w:eastAsia="Times New Roman" w:cs="Times New Roman"/>
          <w:color w:val="000000"/>
          <w:vertAlign w:val="superscript"/>
          <w:lang w:val="en-US"/>
        </w:rPr>
        <w:t>b</w:t>
      </w:r>
      <w:r w:rsidRPr="001F457E">
        <w:rPr>
          <w:rFonts w:eastAsia="Times New Roman" w:cs="Times New Roman"/>
          <w:color w:val="000000"/>
          <w:lang w:val="en-US"/>
        </w:rPr>
        <w:t xml:space="preserve"> and 2011) to study the Al stress response mechanism in Soybean through meta-analysis.</w:t>
      </w:r>
      <w:r>
        <w:rPr>
          <w:rFonts w:eastAsia="Times New Roman" w:cs="Times New Roman"/>
          <w:color w:val="000000"/>
          <w:lang w:val="en-US"/>
        </w:rPr>
        <w:t xml:space="preserve"> The </w:t>
      </w:r>
      <w:r w:rsidRPr="001F457E">
        <w:rPr>
          <w:rFonts w:eastAsia="Times New Roman" w:cs="Times New Roman"/>
          <w:color w:val="000000"/>
          <w:lang w:val="en-US"/>
        </w:rPr>
        <w:t>data wer</w:t>
      </w:r>
      <w:r>
        <w:rPr>
          <w:rFonts w:eastAsia="Times New Roman" w:cs="Times New Roman"/>
          <w:color w:val="000000"/>
          <w:lang w:val="en-US"/>
        </w:rPr>
        <w:t xml:space="preserve">e generated from </w:t>
      </w:r>
      <w:proofErr w:type="spellStart"/>
      <w:r>
        <w:rPr>
          <w:rFonts w:eastAsia="Times New Roman" w:cs="Times New Roman"/>
          <w:color w:val="000000"/>
          <w:lang w:val="en-US"/>
        </w:rPr>
        <w:t>Affymetrix</w:t>
      </w:r>
      <w:proofErr w:type="spellEnd"/>
      <w:r>
        <w:rPr>
          <w:rFonts w:eastAsia="Times New Roman" w:cs="Times New Roman"/>
          <w:color w:val="000000"/>
          <w:lang w:val="en-US"/>
        </w:rPr>
        <w:t xml:space="preserve"> Soybean Genome Array (GPL 4592 in GEO), which contains 37500 probes and each probe </w:t>
      </w:r>
      <w:r w:rsidRPr="001F457E">
        <w:rPr>
          <w:rFonts w:eastAsia="Times New Roman" w:cs="Times New Roman"/>
          <w:color w:val="000000"/>
          <w:lang w:val="en-US"/>
        </w:rPr>
        <w:t>corresponded to an individual gene</w:t>
      </w:r>
      <w:r>
        <w:rPr>
          <w:rFonts w:eastAsia="Times New Roman" w:cs="Times New Roman"/>
          <w:color w:val="000000"/>
          <w:lang w:val="en-US"/>
        </w:rPr>
        <w:t>. The detail descriptions about the samples under Al stress are given in Table 1.</w:t>
      </w:r>
    </w:p>
    <w:p w:rsidR="00637745" w:rsidRDefault="00637745" w:rsidP="00637745">
      <w:pPr>
        <w:autoSpaceDE w:val="0"/>
        <w:autoSpaceDN w:val="0"/>
        <w:adjustRightInd w:val="0"/>
        <w:spacing w:before="240" w:after="0" w:line="240" w:lineRule="auto"/>
        <w:jc w:val="both"/>
      </w:pPr>
      <w:r>
        <w:rPr>
          <w:b/>
        </w:rPr>
        <w:t xml:space="preserve">Table </w:t>
      </w:r>
      <w:r w:rsidRPr="00397487">
        <w:rPr>
          <w:b/>
        </w:rPr>
        <w:t>1</w:t>
      </w:r>
      <w:r>
        <w:t xml:space="preserve"> Descriptions about microarray samples used in this study</w:t>
      </w:r>
    </w:p>
    <w:tbl>
      <w:tblPr>
        <w:tblStyle w:val="TableGrid"/>
        <w:tblW w:w="94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1396"/>
        <w:gridCol w:w="1397"/>
        <w:gridCol w:w="1292"/>
        <w:gridCol w:w="904"/>
        <w:gridCol w:w="1020"/>
        <w:gridCol w:w="2112"/>
      </w:tblGrid>
      <w:tr w:rsidR="00637745" w:rsidRPr="00637745" w:rsidTr="00637745">
        <w:trPr>
          <w:trHeight w:val="300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37745" w:rsidRPr="00637745" w:rsidRDefault="00637745" w:rsidP="00637745">
            <w:pPr>
              <w:jc w:val="center"/>
              <w:rPr>
                <w:rFonts w:eastAsia="Times New Roman" w:cs="Times New Roman"/>
                <w:b/>
                <w:lang w:eastAsia="en-IN"/>
              </w:rPr>
            </w:pPr>
            <w:r w:rsidRPr="00637745">
              <w:rPr>
                <w:rFonts w:eastAsia="Times New Roman" w:cs="Times New Roman"/>
                <w:b/>
                <w:lang w:eastAsia="en-IN"/>
              </w:rPr>
              <w:t>Experiment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37745" w:rsidRPr="00637745" w:rsidRDefault="00637745" w:rsidP="00637745">
            <w:pPr>
              <w:jc w:val="center"/>
              <w:rPr>
                <w:rFonts w:eastAsia="Times New Roman" w:cs="Times New Roman"/>
                <w:b/>
                <w:lang w:eastAsia="en-IN"/>
              </w:rPr>
            </w:pPr>
            <w:r w:rsidRPr="00637745">
              <w:rPr>
                <w:rFonts w:eastAsia="Times New Roman" w:cs="Times New Roman"/>
                <w:b/>
                <w:lang w:eastAsia="en-IN"/>
              </w:rPr>
              <w:t>Sample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37745" w:rsidRPr="00637745" w:rsidRDefault="00637745" w:rsidP="00637745">
            <w:pPr>
              <w:jc w:val="center"/>
              <w:rPr>
                <w:rFonts w:eastAsia="Times New Roman" w:cs="Times New Roman"/>
                <w:b/>
                <w:lang w:eastAsia="en-IN"/>
              </w:rPr>
            </w:pPr>
            <w:r w:rsidRPr="00637745">
              <w:rPr>
                <w:rFonts w:eastAsia="Times New Roman" w:cs="Times New Roman"/>
                <w:b/>
                <w:lang w:eastAsia="en-IN"/>
              </w:rPr>
              <w:t>Stress Type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37745" w:rsidRPr="00637745" w:rsidRDefault="00637745" w:rsidP="00637745">
            <w:pPr>
              <w:jc w:val="center"/>
              <w:rPr>
                <w:rFonts w:eastAsia="Times New Roman" w:cs="Times New Roman"/>
                <w:b/>
                <w:lang w:eastAsia="en-IN"/>
              </w:rPr>
            </w:pPr>
            <w:r w:rsidRPr="00637745">
              <w:rPr>
                <w:rFonts w:eastAsia="Times New Roman" w:cs="Times New Roman"/>
                <w:b/>
                <w:lang w:eastAsia="en-IN"/>
              </w:rPr>
              <w:t>Replication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37745" w:rsidRPr="00637745" w:rsidRDefault="00637745" w:rsidP="00637745">
            <w:pPr>
              <w:jc w:val="center"/>
              <w:rPr>
                <w:rFonts w:eastAsia="Times New Roman" w:cs="Times New Roman"/>
                <w:b/>
                <w:lang w:eastAsia="en-IN"/>
              </w:rPr>
            </w:pPr>
            <w:r w:rsidRPr="00637745">
              <w:rPr>
                <w:rFonts w:eastAsia="Times New Roman" w:cs="Times New Roman"/>
                <w:b/>
                <w:lang w:eastAsia="en-IN"/>
              </w:rPr>
              <w:t>Time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37745" w:rsidRPr="00637745" w:rsidRDefault="00637745" w:rsidP="00637745">
            <w:pPr>
              <w:jc w:val="center"/>
              <w:rPr>
                <w:rFonts w:eastAsia="Times New Roman" w:cs="Times New Roman"/>
                <w:b/>
                <w:lang w:eastAsia="en-IN"/>
              </w:rPr>
            </w:pPr>
            <w:r w:rsidRPr="00637745">
              <w:rPr>
                <w:rFonts w:eastAsia="Times New Roman" w:cs="Times New Roman"/>
                <w:b/>
                <w:lang w:eastAsia="en-IN"/>
              </w:rPr>
              <w:t>Sample Labels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637745" w:rsidRPr="00637745" w:rsidRDefault="00637745" w:rsidP="00637745">
            <w:pPr>
              <w:jc w:val="center"/>
              <w:rPr>
                <w:rFonts w:eastAsia="Times New Roman" w:cs="Times New Roman"/>
                <w:b/>
                <w:lang w:eastAsia="en-IN"/>
              </w:rPr>
            </w:pPr>
            <w:r w:rsidRPr="00637745">
              <w:rPr>
                <w:rFonts w:eastAsia="Times New Roman" w:cs="Times New Roman"/>
                <w:b/>
                <w:lang w:eastAsia="en-IN"/>
              </w:rPr>
              <w:t>References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tcBorders>
              <w:top w:val="single" w:sz="4" w:space="0" w:color="auto"/>
            </w:tcBorders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GSM459249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</w:tcBorders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GSM459250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GSM459251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GSM459252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GSM459253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GSM459254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GSM459255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GSM459256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GSM459257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GSM459258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GSM459259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GSM459260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GSM459261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GSM459262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GSM459263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GSM459264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GSM459265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GSM459266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GSM459267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GSM459268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GSM459269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GSE18423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GSM459270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2010a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GSM461271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GSM461272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GSM461273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GSM461274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GSM461275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GSM461276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GSM461277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GSM461278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GSM461279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lastRenderedPageBreak/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GSM461280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GSM461281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GSM461282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GSM461283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GSM461284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GSM461285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GSM461286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GSM461287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GSM461288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GSM461289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GSM461290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GSM461291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GSM461292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GSM461293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GSM461294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GSM461295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GSM461296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GSM461297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GSM461298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GSM461299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GSM461300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GSM461301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GSM461302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GSM461303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Control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4E7E88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>
              <w:rPr>
                <w:rFonts w:eastAsia="Times New Roman" w:cs="Times New Roman"/>
                <w:lang w:eastAsia="en-IN"/>
              </w:rPr>
              <w:t>-1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GSM461304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GSM461305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GSM461306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GSM461307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GSM461308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GSM461309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GSM461310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GSM461311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48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GSM461312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GSM461313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GSE18517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GSM461314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2011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GSE18518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GSM461315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2010b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GSE18518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GSM461316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2010b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GSE18518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GSM461317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2010b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GSE18518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GSM461318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2010b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GSE18518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GSM461319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2010b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GSE18518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GSM461320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2010b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GSE18518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GSM461327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2010b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GSE18518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GSM461328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2010b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lastRenderedPageBreak/>
              <w:t>GSE18518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GSM461329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2010b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GSE18518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GSM461330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2010b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GSE18518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GSM461331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2010b </w:t>
            </w:r>
          </w:p>
        </w:tc>
      </w:tr>
      <w:tr w:rsidR="00637745" w:rsidRPr="00637745" w:rsidTr="00637745">
        <w:trPr>
          <w:trHeight w:val="300"/>
        </w:trPr>
        <w:tc>
          <w:tcPr>
            <w:tcW w:w="1329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b/>
                <w:bCs/>
                <w:lang w:eastAsia="en-IN"/>
              </w:rPr>
            </w:pPr>
            <w:r w:rsidRPr="00637745">
              <w:rPr>
                <w:rFonts w:eastAsia="Times New Roman" w:cs="Times New Roman"/>
                <w:b/>
                <w:bCs/>
                <w:lang w:eastAsia="en-IN"/>
              </w:rPr>
              <w:t>GSE18518</w:t>
            </w:r>
          </w:p>
        </w:tc>
        <w:tc>
          <w:tcPr>
            <w:tcW w:w="1396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GSM461332</w:t>
            </w:r>
          </w:p>
        </w:tc>
        <w:tc>
          <w:tcPr>
            <w:tcW w:w="1397" w:type="dxa"/>
            <w:noWrap/>
            <w:hideMark/>
          </w:tcPr>
          <w:p w:rsidR="00637745" w:rsidRPr="00637745" w:rsidRDefault="00637745" w:rsidP="00637745">
            <w:pPr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Stress</w:t>
            </w:r>
          </w:p>
        </w:tc>
        <w:tc>
          <w:tcPr>
            <w:tcW w:w="1292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72</w:t>
            </w:r>
          </w:p>
        </w:tc>
        <w:tc>
          <w:tcPr>
            <w:tcW w:w="1020" w:type="dxa"/>
            <w:noWrap/>
            <w:hideMark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r w:rsidRPr="00637745">
              <w:rPr>
                <w:rFonts w:eastAsia="Times New Roman" w:cs="Times New Roman"/>
                <w:lang w:eastAsia="en-IN"/>
              </w:rPr>
              <w:t>1</w:t>
            </w:r>
          </w:p>
        </w:tc>
        <w:tc>
          <w:tcPr>
            <w:tcW w:w="2112" w:type="dxa"/>
          </w:tcPr>
          <w:p w:rsidR="00637745" w:rsidRPr="00637745" w:rsidRDefault="00637745" w:rsidP="00637745">
            <w:pPr>
              <w:jc w:val="right"/>
              <w:rPr>
                <w:rFonts w:eastAsia="Times New Roman" w:cs="Times New Roman"/>
                <w:lang w:eastAsia="en-IN"/>
              </w:rPr>
            </w:pPr>
            <w:proofErr w:type="spellStart"/>
            <w:r w:rsidRPr="00637745">
              <w:rPr>
                <w:rFonts w:eastAsia="Times New Roman" w:cs="Times New Roman"/>
                <w:lang w:eastAsia="en-IN"/>
              </w:rPr>
              <w:t>Duressa</w:t>
            </w:r>
            <w:proofErr w:type="spellEnd"/>
            <w:r w:rsidRPr="00637745">
              <w:rPr>
                <w:rFonts w:eastAsia="Times New Roman" w:cs="Times New Roman"/>
                <w:lang w:eastAsia="en-IN"/>
              </w:rPr>
              <w:t xml:space="preserve">  et al. 2010b</w:t>
            </w:r>
          </w:p>
        </w:tc>
      </w:tr>
    </w:tbl>
    <w:p w:rsidR="00637745" w:rsidRPr="00637745" w:rsidRDefault="004E7E88" w:rsidP="00637745">
      <w:pPr>
        <w:jc w:val="center"/>
        <w:rPr>
          <w:sz w:val="18"/>
          <w:szCs w:val="18"/>
        </w:rPr>
      </w:pPr>
      <w:r>
        <w:rPr>
          <w:sz w:val="18"/>
          <w:szCs w:val="18"/>
        </w:rPr>
        <w:t>In Sample Labels, “-1</w:t>
      </w:r>
      <w:r w:rsidR="00637745" w:rsidRPr="00397487">
        <w:rPr>
          <w:sz w:val="18"/>
          <w:szCs w:val="18"/>
        </w:rPr>
        <w:t>” and “1” mean</w:t>
      </w:r>
      <w:r w:rsidR="00637745">
        <w:rPr>
          <w:sz w:val="18"/>
          <w:szCs w:val="18"/>
        </w:rPr>
        <w:t>s</w:t>
      </w:r>
      <w:r w:rsidR="00637745" w:rsidRPr="00397487">
        <w:rPr>
          <w:sz w:val="18"/>
          <w:szCs w:val="18"/>
        </w:rPr>
        <w:t xml:space="preserve"> the mi</w:t>
      </w:r>
      <w:r>
        <w:rPr>
          <w:sz w:val="18"/>
          <w:szCs w:val="18"/>
        </w:rPr>
        <w:t>croarray sample belong to control</w:t>
      </w:r>
      <w:bookmarkStart w:id="0" w:name="_GoBack"/>
      <w:bookmarkEnd w:id="0"/>
      <w:r w:rsidR="00637745" w:rsidRPr="00397487">
        <w:rPr>
          <w:sz w:val="18"/>
          <w:szCs w:val="18"/>
        </w:rPr>
        <w:t xml:space="preserve"> and</w:t>
      </w:r>
      <w:r w:rsidR="00637745">
        <w:rPr>
          <w:sz w:val="18"/>
          <w:szCs w:val="18"/>
        </w:rPr>
        <w:t xml:space="preserve"> Al toxic</w:t>
      </w:r>
      <w:r w:rsidR="00637745" w:rsidRPr="00397487">
        <w:rPr>
          <w:sz w:val="18"/>
          <w:szCs w:val="18"/>
        </w:rPr>
        <w:t xml:space="preserve"> stress conditions</w:t>
      </w:r>
      <w:r w:rsidR="00637745">
        <w:rPr>
          <w:sz w:val="18"/>
          <w:szCs w:val="18"/>
        </w:rPr>
        <w:t xml:space="preserve"> respectively</w:t>
      </w:r>
    </w:p>
    <w:p w:rsidR="00637745" w:rsidRPr="00637745" w:rsidRDefault="00637745" w:rsidP="00637745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Times New Roman"/>
          <w:b/>
          <w:color w:val="000000"/>
          <w:lang w:val="en-US"/>
        </w:rPr>
      </w:pPr>
      <w:r w:rsidRPr="00637745">
        <w:rPr>
          <w:rFonts w:eastAsia="Times New Roman" w:cs="Times New Roman"/>
          <w:b/>
          <w:color w:val="000000"/>
          <w:lang w:val="en-US"/>
        </w:rPr>
        <w:t>References</w:t>
      </w:r>
    </w:p>
    <w:p w:rsidR="00637745" w:rsidRPr="00397487" w:rsidRDefault="00637745" w:rsidP="00637745">
      <w:pPr>
        <w:shd w:val="clear" w:color="auto" w:fill="FFFFFF"/>
        <w:spacing w:before="100" w:beforeAutospacing="1" w:after="60" w:line="240" w:lineRule="auto"/>
        <w:ind w:left="720" w:hanging="720"/>
        <w:jc w:val="both"/>
        <w:rPr>
          <w:rFonts w:eastAsia="Times New Roman" w:cs="Times New Roman"/>
          <w:color w:val="000000"/>
          <w:sz w:val="20"/>
          <w:szCs w:val="20"/>
          <w:lang w:val="en-US"/>
        </w:rPr>
      </w:pPr>
      <w:proofErr w:type="spellStart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>Duressa</w:t>
      </w:r>
      <w:proofErr w:type="spellEnd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 xml:space="preserve"> D, </w:t>
      </w:r>
      <w:proofErr w:type="spellStart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>Soliman</w:t>
      </w:r>
      <w:proofErr w:type="spellEnd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 xml:space="preserve"> K, Chen D (2010a) Identification of aluminum responsive genes in Al-tolerant soybean line PI 416937. </w:t>
      </w:r>
      <w:proofErr w:type="gramStart"/>
      <w:r w:rsidRPr="00397487">
        <w:rPr>
          <w:rFonts w:eastAsia="Times New Roman" w:cs="Times New Roman"/>
          <w:iCs/>
          <w:color w:val="000000"/>
          <w:sz w:val="20"/>
          <w:szCs w:val="20"/>
          <w:lang w:val="en-US"/>
        </w:rPr>
        <w:t>International Journal of Plant Genomics</w:t>
      </w:r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>.</w:t>
      </w:r>
      <w:proofErr w:type="gramEnd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>doi</w:t>
      </w:r>
      <w:proofErr w:type="spellEnd"/>
      <w:proofErr w:type="gramEnd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>: 10.1155/2010/164862</w:t>
      </w:r>
    </w:p>
    <w:p w:rsidR="00637745" w:rsidRPr="00397487" w:rsidRDefault="00637745" w:rsidP="00637745">
      <w:pPr>
        <w:shd w:val="clear" w:color="auto" w:fill="FFFFFF"/>
        <w:spacing w:before="100" w:beforeAutospacing="1" w:after="60" w:line="240" w:lineRule="auto"/>
        <w:ind w:left="720" w:hanging="720"/>
        <w:jc w:val="both"/>
        <w:rPr>
          <w:rFonts w:eastAsia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>Duressa</w:t>
      </w:r>
      <w:proofErr w:type="spellEnd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 xml:space="preserve"> D, </w:t>
      </w:r>
      <w:proofErr w:type="spellStart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>Soliman</w:t>
      </w:r>
      <w:proofErr w:type="spellEnd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 xml:space="preserve"> KM, Chen D (2010b) Mechanisms of magnesium amelioration of aluminum toxicity in soybean at the gene expression level.</w:t>
      </w:r>
      <w:proofErr w:type="gramEnd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 xml:space="preserve"> Genome 53 (10):787-97. PMID: 20962885</w:t>
      </w:r>
    </w:p>
    <w:p w:rsidR="00637745" w:rsidRDefault="00637745" w:rsidP="00637745">
      <w:pPr>
        <w:shd w:val="clear" w:color="auto" w:fill="FFFFFF"/>
        <w:spacing w:before="100" w:beforeAutospacing="1" w:after="60" w:line="240" w:lineRule="auto"/>
        <w:ind w:left="720" w:hanging="720"/>
        <w:jc w:val="both"/>
        <w:rPr>
          <w:rFonts w:eastAsia="Times New Roman" w:cs="Times New Roman"/>
          <w:color w:val="000000"/>
          <w:sz w:val="20"/>
          <w:szCs w:val="20"/>
          <w:lang w:val="en-US"/>
        </w:rPr>
      </w:pPr>
      <w:proofErr w:type="spellStart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>Duressa</w:t>
      </w:r>
      <w:proofErr w:type="spellEnd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 xml:space="preserve"> D, </w:t>
      </w:r>
      <w:proofErr w:type="spellStart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>Soliman</w:t>
      </w:r>
      <w:proofErr w:type="spellEnd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 xml:space="preserve"> KM, Taylor RW, Chen D (2011) Gene expression profiling in soybean under aluminum stress: genes differentially expressed between Al-tolerant and Al-sensitive genotypes.  American Journal of Molecular Biology 1: 156-173. </w:t>
      </w:r>
      <w:proofErr w:type="spellStart"/>
      <w:proofErr w:type="gramStart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>doi</w:t>
      </w:r>
      <w:proofErr w:type="spellEnd"/>
      <w:proofErr w:type="gramEnd"/>
      <w:r w:rsidRPr="00397487">
        <w:rPr>
          <w:rFonts w:eastAsia="Times New Roman" w:cs="Times New Roman"/>
          <w:color w:val="000000"/>
          <w:sz w:val="20"/>
          <w:szCs w:val="20"/>
          <w:lang w:val="en-US"/>
        </w:rPr>
        <w:t>: 10.4236/ajmb.2011.13016.</w:t>
      </w:r>
    </w:p>
    <w:p w:rsidR="00637745" w:rsidRDefault="00637745" w:rsidP="00637745">
      <w:pPr>
        <w:shd w:val="clear" w:color="auto" w:fill="FFFFFF"/>
        <w:spacing w:before="100" w:beforeAutospacing="1" w:after="60" w:line="240" w:lineRule="auto"/>
        <w:ind w:left="720" w:hanging="720"/>
        <w:jc w:val="both"/>
        <w:rPr>
          <w:rFonts w:eastAsia="Times New Roman" w:cs="Times New Roman"/>
          <w:color w:val="000000"/>
          <w:sz w:val="20"/>
          <w:szCs w:val="20"/>
          <w:lang w:val="en-US"/>
        </w:rPr>
      </w:pPr>
    </w:p>
    <w:p w:rsidR="00637745" w:rsidRPr="00637745" w:rsidRDefault="00637745" w:rsidP="00637745">
      <w:pPr>
        <w:spacing w:after="0" w:line="240" w:lineRule="auto"/>
        <w:rPr>
          <w:b/>
        </w:rPr>
      </w:pPr>
    </w:p>
    <w:p w:rsidR="00C90905" w:rsidRDefault="00C90905" w:rsidP="00637745">
      <w:pPr>
        <w:spacing w:before="240"/>
      </w:pPr>
    </w:p>
    <w:sectPr w:rsidR="00C90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5"/>
    <w:rsid w:val="004E7E88"/>
    <w:rsid w:val="00637745"/>
    <w:rsid w:val="00C9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45"/>
    <w:rPr>
      <w:rFonts w:ascii="Times New Roman" w:hAnsi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745"/>
    <w:rPr>
      <w:color w:val="0000FF"/>
      <w:u w:val="single"/>
    </w:rPr>
  </w:style>
  <w:style w:type="table" w:styleId="TableGrid">
    <w:name w:val="Table Grid"/>
    <w:basedOn w:val="TableNormal"/>
    <w:uiPriority w:val="59"/>
    <w:rsid w:val="00637745"/>
    <w:pPr>
      <w:spacing w:after="0" w:line="240" w:lineRule="auto"/>
    </w:pPr>
    <w:rPr>
      <w:rFonts w:ascii="Times New Roman" w:hAnsi="Times New Roman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45"/>
    <w:rPr>
      <w:rFonts w:ascii="Times New Roman" w:hAnsi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745"/>
    <w:rPr>
      <w:color w:val="0000FF"/>
      <w:u w:val="single"/>
    </w:rPr>
  </w:style>
  <w:style w:type="table" w:styleId="TableGrid">
    <w:name w:val="Table Grid"/>
    <w:basedOn w:val="TableNormal"/>
    <w:uiPriority w:val="59"/>
    <w:rsid w:val="00637745"/>
    <w:pPr>
      <w:spacing w:after="0" w:line="240" w:lineRule="auto"/>
    </w:pPr>
    <w:rPr>
      <w:rFonts w:ascii="Times New Roman" w:hAnsi="Times New Roman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geo/query/acc.cgi?acc=GPL45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samarendra</dc:creator>
  <cp:lastModifiedBy>samarendra</cp:lastModifiedBy>
  <cp:revision>2</cp:revision>
  <dcterms:created xsi:type="dcterms:W3CDTF">2015-11-27T10:41:00Z</dcterms:created>
  <dcterms:modified xsi:type="dcterms:W3CDTF">2016-05-25T06:32:00Z</dcterms:modified>
</cp:coreProperties>
</file>